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Multi-Specialized Agentic AI Proposal</w:t>
      </w:r>
    </w:p>
    <w:p>
      <w:pPr>
        <w:jc w:val="center"/>
      </w:pPr>
      <w:r>
        <w:rPr>
          <w:i/>
        </w:rPr>
        <w:t>Date: March 22, 2026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ind w:left="720"/>
      </w:pPr>
      <w:r>
        <w:t>Executive Summary</w:t>
      </w:r>
    </w:p>
    <w:p>
      <w:pPr>
        <w:ind w:left="720"/>
      </w:pPr>
      <w:r>
        <w:t>Key Findings</w:t>
      </w:r>
    </w:p>
    <w:p>
      <w:pPr>
        <w:ind w:left="720"/>
      </w:pPr>
      <w:r>
        <w:t>Architecture Overview</w:t>
      </w:r>
    </w:p>
    <w:p>
      <w:pPr>
        <w:ind w:left="720"/>
      </w:pPr>
      <w:r>
        <w:t>Cost Analysis</w:t>
      </w:r>
    </w:p>
    <w:p>
      <w:pPr>
        <w:ind w:left="720"/>
      </w:pPr>
      <w:r>
        <w:t>Productivity Comparison</w:t>
      </w:r>
    </w:p>
    <w:p>
      <w:pPr>
        <w:ind w:left="720"/>
      </w:pPr>
      <w:r>
        <w:t>Quality Metrics</w:t>
      </w:r>
    </w:p>
    <w:p>
      <w:pPr>
        <w:ind w:left="720"/>
      </w:pPr>
      <w:r>
        <w:t>Implementation Timeline</w:t>
      </w:r>
    </w:p>
    <w:p>
      <w:pPr>
        <w:ind w:left="720"/>
      </w:pPr>
      <w:r>
        <w:t>ROI Projection</w:t>
      </w:r>
    </w:p>
    <w:p>
      <w:pPr>
        <w:ind w:left="720"/>
      </w:pPr>
      <w:r>
        <w:t>Conclusion</w:t>
      </w:r>
    </w:p>
    <w:p>
      <w:r>
        <w:br w:type="page"/>
      </w:r>
    </w:p>
    <w:p>
      <w:pPr>
        <w:pStyle w:val="Heading1"/>
      </w:pPr>
      <w:r>
        <w:t>Executive Summary</w:t>
      </w:r>
    </w:p>
    <w:p>
      <w:r>
        <w:t>This paper proposes a multi-specialized agentic AI approach where individual AI agents, each optimized for specific domains, collaborate as a complete development organization. Based on extensive real-world project work documented in the STSGYM repository, we demonstrate that a single human operator with specialized AI agents can achieve outcomes equivalent to a traditional 10-15 person development team at 93-98% lower cost.</w:t>
      </w:r>
    </w:p>
    <w:p>
      <w:pPr>
        <w:pStyle w:val="Heading1"/>
      </w:pPr>
      <w:r>
        <w:t>Key Findings</w:t>
      </w:r>
    </w:p>
    <w:p>
      <w:pPr>
        <w:pStyle w:val="Heading1"/>
      </w:pPr>
      <w:r>
        <w:t>Architecture Overview</w:t>
      </w:r>
    </w:p>
    <w:p>
      <w:pPr>
        <w:pStyle w:val="Heading1"/>
      </w:pPr>
      <w:r>
        <w:t>Cost Analysis</w:t>
      </w:r>
    </w:p>
    <w:p>
      <w:pPr>
        <w:pStyle w:val="Heading1"/>
      </w:pPr>
      <w:r>
        <w:t>Productivity Comparison</w:t>
      </w:r>
    </w:p>
    <w:p>
      <w:pPr>
        <w:pStyle w:val="Heading1"/>
      </w:pPr>
      <w:r>
        <w:t>Quality Metrics</w:t>
      </w:r>
    </w:p>
    <w:p>
      <w:pPr>
        <w:pStyle w:val="Heading1"/>
      </w:pPr>
      <w:r>
        <w:t>Implementation Timeline</w:t>
      </w:r>
    </w:p>
    <w:p>
      <w:pPr>
        <w:pStyle w:val="Heading1"/>
      </w:pPr>
      <w:r>
        <w:t>ROI Projection</w:t>
      </w:r>
    </w:p>
    <w:p>
      <w:pPr>
        <w:pStyle w:val="Heading1"/>
      </w:pPr>
      <w:r>
        <w:t>Conclusion</w:t>
      </w:r>
    </w:p>
    <w:p>
      <w:r>
        <w:t>The multi-specialized agentic AI approach represents a fundamental shift in how software development organizations operate. By enabling a single human to leverage specialized AI agents across all traditional roles, organizations can achieve unprecedented efficiency gains while maintaining quality and accelerating time-to-market.</w:t>
      </w:r>
    </w:p>
    <w:p>
      <w:r>
        <w:br w:type="page"/>
      </w:r>
    </w:p>
    <w:p>
      <w:pPr>
        <w:pStyle w:val="Heading2"/>
      </w:pPr>
      <w:r>
        <w:t>Cost Comparison</w:t>
      </w:r>
    </w:p>
    <w:p>
      <w:r>
        <w:drawing>
          <wp:inline xmlns:a="http://schemas.openxmlformats.org/drawingml/2006/main" xmlns:pic="http://schemas.openxmlformats.org/drawingml/2006/picture">
            <wp:extent cx="5486400" cy="3182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4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Architecture Overview</w:t>
      </w:r>
    </w:p>
    <w:p>
      <w:r>
        <w:drawing>
          <wp:inline xmlns:a="http://schemas.openxmlformats.org/drawingml/2006/main" xmlns:pic="http://schemas.openxmlformats.org/drawingml/2006/picture">
            <wp:extent cx="5486400" cy="469699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Productivity Comparison</w:t>
      </w:r>
    </w:p>
    <w:p>
      <w:r>
        <w:drawing>
          <wp:inline xmlns:a="http://schemas.openxmlformats.org/drawingml/2006/main" xmlns:pic="http://schemas.openxmlformats.org/drawingml/2006/picture">
            <wp:extent cx="5486400" cy="318248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4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Quality Metrics</w:t>
      </w:r>
    </w:p>
    <w:p>
      <w:r>
        <w:drawing>
          <wp:inline xmlns:a="http://schemas.openxmlformats.org/drawingml/2006/main" xmlns:pic="http://schemas.openxmlformats.org/drawingml/2006/picture">
            <wp:extent cx="5486400" cy="318248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4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Implementation Timeline</w:t>
      </w:r>
    </w:p>
    <w:p>
      <w:r>
        <w:drawing>
          <wp:inline xmlns:a="http://schemas.openxmlformats.org/drawingml/2006/main" xmlns:pic="http://schemas.openxmlformats.org/drawingml/2006/picture">
            <wp:extent cx="5486400" cy="311817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1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ROI Projection</w:t>
      </w:r>
    </w:p>
    <w:p>
      <w:r>
        <w:drawing>
          <wp:inline xmlns:a="http://schemas.openxmlformats.org/drawingml/2006/main" xmlns:pic="http://schemas.openxmlformats.org/drawingml/2006/picture">
            <wp:extent cx="5486400" cy="3182481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48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